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2F32" w14:textId="580B9C1F" w:rsidR="0095649D" w:rsidRDefault="00CB641A" w:rsidP="0084644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B64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Triangle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подход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07907" w:rsidRPr="00CB64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результатам</w:t>
      </w:r>
    </w:p>
    <w:p w14:paraId="675A54E6" w14:textId="2C609D72" w:rsidR="0095649D" w:rsidRDefault="0053440E" w:rsidP="0084644A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64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</w:t>
      </w:r>
      <w:r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668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рассматриваем</w:t>
      </w:r>
      <w:r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668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измерение</w:t>
      </w:r>
      <w:r w:rsidR="00166897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64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</w:t>
      </w:r>
      <w:r w:rsidR="001668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64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</w:t>
      </w:r>
      <w:r w:rsidR="001668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5649D" w:rsidRPr="00CB641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outcomes</w:t>
      </w:r>
      <w:r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</w:t>
      </w:r>
      <w:r w:rsidR="00261D9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67136" w:rsidRPr="00CB64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широк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ую</w:t>
      </w:r>
      <w:r w:rsidR="00E6713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практическую</w:t>
      </w:r>
      <w:r w:rsidR="00261D9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67136" w:rsidRPr="00CB64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дисциплин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="00261D9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61D9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сферах</w:t>
      </w:r>
      <w:r w:rsidR="00261D96" w:rsidRP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1D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социальной защиты и здравоохранения</w:t>
      </w:r>
    </w:p>
    <w:p w14:paraId="1184F75B" w14:textId="6F5E53D8" w:rsidR="00311C3E" w:rsidRPr="00311C3E" w:rsidRDefault="00311C3E" w:rsidP="0084644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history="1">
        <w:r w:rsidRPr="007026F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http://www.outcomesstar.org.uk/about-triangle/our-approach-to-outcomes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766DE623" w14:textId="0D869573" w:rsidR="00345261" w:rsidRDefault="00E67136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Сотрудники</w:t>
      </w:r>
      <w:r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Triangle</w:t>
      </w:r>
      <w:r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убеждены</w:t>
      </w:r>
      <w:r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C01230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0123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все</w:t>
      </w:r>
      <w:r w:rsidR="00C01230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0123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социальные</w:t>
      </w:r>
      <w:r w:rsidR="00C01230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0123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службы</w:t>
      </w:r>
      <w:r w:rsidR="00C01230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0123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должны</w:t>
      </w:r>
      <w:r w:rsidR="00C01230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стремиться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сделать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свою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работу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центрированной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клиенте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r w:rsidR="00551314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client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551314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centred</w:t>
      </w:r>
      <w:proofErr w:type="spellEnd"/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)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направляемой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учетом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5131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достигаемых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изменений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outcomes</w:t>
      </w:r>
      <w:r w:rsidR="0095649D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-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driven</w:t>
      </w:r>
      <w:r w:rsidR="00551314" w:rsidRPr="008C794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). </w:t>
      </w:r>
      <w:r w:rsidR="001E714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Поэтому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наш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="001E714F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инновационным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разработкам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инструментов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15EB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615EBD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основывается</w:t>
      </w:r>
      <w:r w:rsidR="00345261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345261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следующих</w:t>
      </w:r>
      <w:r w:rsidR="00345261" w:rsidRP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452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принципах:</w:t>
      </w:r>
    </w:p>
    <w:p w14:paraId="046D47EB" w14:textId="52A841B0" w:rsidR="0095649D" w:rsidRPr="00626313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1)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Истинная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цель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обучение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организации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развитие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услуг</w:t>
      </w:r>
      <w:r w:rsidR="00626313" w:rsidRPr="00626313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6F6CAECD" w14:textId="2FF4A3E3" w:rsidR="0095649D" w:rsidRPr="00A1748C" w:rsidRDefault="00261D96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Главная</w:t>
      </w:r>
      <w:r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цель</w:t>
      </w:r>
      <w:r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511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C511E4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511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C511E4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–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это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возможность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понимать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работает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нет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собрать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доказательную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базу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212B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основе</w:t>
      </w:r>
      <w:r w:rsidR="009212B6" w:rsidRP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которой можно планировать развитие услуг, более полезных для </w:t>
      </w:r>
      <w:proofErr w:type="spellStart"/>
      <w:r w:rsid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</w:t>
      </w:r>
      <w:proofErr w:type="spellEnd"/>
      <w:r w:rsidR="005F73C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 w:rsidR="0095649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Отчетность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перед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стейкхолдерами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учредителями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тоже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важный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релевантный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мотив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для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но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если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он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становится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доминирующим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действует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контрпродуктивно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заставляя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фокусировать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внимание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цифрах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5C398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людях</w:t>
      </w:r>
      <w:r w:rsidR="005C398D" w:rsidRPr="00A1748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</w:p>
    <w:p w14:paraId="377AE3A9" w14:textId="7E345D50" w:rsidR="0095649D" w:rsidRPr="00D07907" w:rsidRDefault="00227F6E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Сотрудники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Triangle</w:t>
      </w:r>
      <w:r w:rsidR="0095649D"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считают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самый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большой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вклад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жизнь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вносят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организации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которые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постоянно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узнают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новое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себе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которую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они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делают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призываем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организации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стейкхолдеров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оценивать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какой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мере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специалисты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учатся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услуги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улучшаются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результате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нежели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ограничивать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свой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анализ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значениями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отдельных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показателей</w:t>
      </w:r>
      <w:r w:rsidRPr="00227F6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007CA789" w14:textId="29B6B9AE" w:rsidR="0095649D" w:rsidRPr="00F70F3F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2) </w:t>
      </w:r>
      <w:r w:rsidR="00A1009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То, что вы измеряете, влияет на то, что вы дел</w:t>
      </w:r>
      <w:r w:rsidR="000861E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="00A1009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ете</w:t>
      </w:r>
      <w:r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«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сфокусированный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 результатах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» 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значит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«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сфокусированный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благополучателях</w:t>
      </w:r>
      <w:proofErr w:type="spellEnd"/>
      <w:r w:rsidR="00F70F3F" w:rsidRPr="00F70F3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»</w:t>
      </w:r>
    </w:p>
    <w:p w14:paraId="0CF65222" w14:textId="77777777" w:rsidR="001B2D34" w:rsidRDefault="00434CBF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Социальные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результаты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сводятся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 измерениям. Они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помогают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делать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 работу организаций и процесс оказания услуг центрированным</w:t>
      </w:r>
      <w:r w:rsidR="004074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 на клиенте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и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двигаться </w:t>
      </w:r>
      <w:r w:rsidR="001D616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вперед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учетом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достигаемых</w:t>
      </w:r>
      <w:r w:rsidRPr="00434CB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изменений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 Сфокусироваться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результатах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значит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полностью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перенести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фокус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внимания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работников и менеджеров со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стандартов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процедур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оказания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услуг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907A72" w:rsidRP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="00907A7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и на изменения, происходящие в их жизни. </w:t>
      </w:r>
    </w:p>
    <w:p w14:paraId="4933DDC7" w14:textId="5B675EAE" w:rsidR="0095649D" w:rsidRPr="005441DA" w:rsidRDefault="001B2D34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Различия</w:t>
      </w:r>
      <w:r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между</w:t>
      </w:r>
      <w:r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моделями</w:t>
      </w:r>
      <w:r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оказания</w:t>
      </w:r>
      <w:r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слуг</w:t>
      </w:r>
      <w:r w:rsidR="00C1445C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сфокусированн</w:t>
      </w:r>
      <w:r w:rsid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ых</w:t>
      </w:r>
      <w:r w:rsidR="00C1445C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C1445C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процедурах</w:t>
      </w:r>
      <w:r w:rsidR="00C1445C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или</w:t>
      </w:r>
      <w:r w:rsidR="00C1445C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1445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стандарт</w:t>
      </w:r>
      <w:r w:rsidR="005F4E4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ах</w:t>
      </w:r>
      <w:r w:rsidR="005441DA" w:rsidRP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// </w:t>
      </w:r>
      <w:r w:rsid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сфокусированных на </w:t>
      </w:r>
      <w:proofErr w:type="spellStart"/>
      <w:r w:rsid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</w:t>
      </w:r>
      <w:proofErr w:type="spellEnd"/>
      <w:r w:rsidR="005441D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457D" w:rsidRPr="00E02DBA" w14:paraId="648F8845" w14:textId="77777777" w:rsidTr="007A457D">
        <w:tc>
          <w:tcPr>
            <w:tcW w:w="4672" w:type="dxa"/>
          </w:tcPr>
          <w:p w14:paraId="607E6DB7" w14:textId="69BC6E0C" w:rsidR="007A457D" w:rsidRPr="00E02DBA" w:rsidRDefault="007A457D" w:rsidP="0084644A">
            <w:p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02DB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Фокус на процедуре оказания услуги</w:t>
            </w:r>
          </w:p>
        </w:tc>
        <w:tc>
          <w:tcPr>
            <w:tcW w:w="4673" w:type="dxa"/>
          </w:tcPr>
          <w:p w14:paraId="6D43FEB6" w14:textId="5746B191" w:rsidR="007A457D" w:rsidRPr="00E02DBA" w:rsidRDefault="007A457D" w:rsidP="0084644A">
            <w:p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02DB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Фокус на </w:t>
            </w:r>
            <w:proofErr w:type="spellStart"/>
            <w:r w:rsidRPr="00E02DB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благопоулчателе</w:t>
            </w:r>
            <w:proofErr w:type="spellEnd"/>
          </w:p>
        </w:tc>
      </w:tr>
      <w:tr w:rsidR="007A457D" w:rsidRPr="007A457D" w14:paraId="2E5E8825" w14:textId="77777777" w:rsidTr="007A457D">
        <w:tc>
          <w:tcPr>
            <w:tcW w:w="4672" w:type="dxa"/>
          </w:tcPr>
          <w:p w14:paraId="61ED9D4F" w14:textId="77777777" w:rsidR="00211636" w:rsidRDefault="007A457D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В центре внимания</w:t>
            </w:r>
            <w:r w:rsidR="00211636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  <w:p w14:paraId="4C130140" w14:textId="77777777" w:rsidR="007A457D" w:rsidRDefault="007A457D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– поставщик услуги (специалист или организация в целом)</w:t>
            </w:r>
          </w:p>
          <w:p w14:paraId="7C99BED9" w14:textId="77777777" w:rsidR="00211636" w:rsidRDefault="00211636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- процедуры и процесс оказания услуги</w:t>
            </w:r>
          </w:p>
          <w:p w14:paraId="716BBE84" w14:textId="358B3F53" w:rsidR="00211636" w:rsidRPr="007A457D" w:rsidRDefault="00211636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- качество оказания услуги</w:t>
            </w:r>
          </w:p>
        </w:tc>
        <w:tc>
          <w:tcPr>
            <w:tcW w:w="4673" w:type="dxa"/>
          </w:tcPr>
          <w:p w14:paraId="024BE52E" w14:textId="77777777" w:rsidR="00211636" w:rsidRDefault="007A457D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В центре внимания</w:t>
            </w:r>
            <w:r w:rsidR="00211636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  <w:p w14:paraId="1796B0EC" w14:textId="77777777" w:rsidR="007A457D" w:rsidRDefault="007A457D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благополучатель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  <w:p w14:paraId="299CA14C" w14:textId="77777777" w:rsidR="00211636" w:rsidRDefault="00211636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 изменения в жизни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благополучателя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или в его состоянии</w:t>
            </w:r>
          </w:p>
          <w:p w14:paraId="4D78CD08" w14:textId="4FFB03DB" w:rsidR="00211636" w:rsidRPr="007A457D" w:rsidRDefault="00211636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- результативность оказания услуги</w:t>
            </w:r>
          </w:p>
        </w:tc>
      </w:tr>
      <w:tr w:rsidR="00F77311" w:rsidRPr="007A457D" w14:paraId="307A16E5" w14:textId="77777777" w:rsidTr="007A457D">
        <w:tc>
          <w:tcPr>
            <w:tcW w:w="4672" w:type="dxa"/>
          </w:tcPr>
          <w:p w14:paraId="7B99BDEB" w14:textId="791C08BC" w:rsidR="00F77311" w:rsidRPr="007A457D" w:rsidRDefault="00F7731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Акцент на повышении качества</w:t>
            </w:r>
          </w:p>
        </w:tc>
        <w:tc>
          <w:tcPr>
            <w:tcW w:w="4673" w:type="dxa"/>
          </w:tcPr>
          <w:p w14:paraId="5417CF57" w14:textId="629F1CC2" w:rsidR="00F77311" w:rsidRPr="007A457D" w:rsidRDefault="00F7731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Акцент на повышении результативности</w:t>
            </w:r>
          </w:p>
        </w:tc>
      </w:tr>
      <w:tr w:rsidR="00F77311" w:rsidRPr="007A457D" w14:paraId="15D89D0C" w14:textId="77777777" w:rsidTr="007A457D">
        <w:tc>
          <w:tcPr>
            <w:tcW w:w="4672" w:type="dxa"/>
          </w:tcPr>
          <w:p w14:paraId="56CD244F" w14:textId="7FCB7829" w:rsidR="00F77311" w:rsidRPr="007A457D" w:rsidRDefault="00F7731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Измерение объема оказанной помощи</w:t>
            </w:r>
          </w:p>
        </w:tc>
        <w:tc>
          <w:tcPr>
            <w:tcW w:w="4673" w:type="dxa"/>
          </w:tcPr>
          <w:p w14:paraId="16F6D1BA" w14:textId="53816007" w:rsidR="00F77311" w:rsidRPr="007A457D" w:rsidRDefault="00F7731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Измерение пользы от оказанной помощи</w:t>
            </w:r>
          </w:p>
        </w:tc>
      </w:tr>
      <w:tr w:rsidR="00F77311" w:rsidRPr="007A457D" w14:paraId="2C69AEF7" w14:textId="77777777" w:rsidTr="007A457D">
        <w:tc>
          <w:tcPr>
            <w:tcW w:w="4672" w:type="dxa"/>
          </w:tcPr>
          <w:p w14:paraId="4B0794DA" w14:textId="51950672" w:rsidR="00F77311" w:rsidRPr="002967C5" w:rsidRDefault="002967C5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Свидетельства проделанной работы (слабая доказательная база)</w:t>
            </w:r>
          </w:p>
        </w:tc>
        <w:tc>
          <w:tcPr>
            <w:tcW w:w="4673" w:type="dxa"/>
          </w:tcPr>
          <w:p w14:paraId="7CE65C23" w14:textId="6AF1EC44" w:rsidR="00F77311" w:rsidRDefault="002967C5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Свидетельства результативности (сильная доказательная база)</w:t>
            </w:r>
          </w:p>
        </w:tc>
      </w:tr>
      <w:tr w:rsidR="009A63CE" w:rsidRPr="007A457D" w14:paraId="771C18D2" w14:textId="77777777" w:rsidTr="007A457D">
        <w:tc>
          <w:tcPr>
            <w:tcW w:w="4672" w:type="dxa"/>
          </w:tcPr>
          <w:p w14:paraId="562032F1" w14:textId="33FB9FFB" w:rsidR="009A63CE" w:rsidRPr="005E6261" w:rsidRDefault="005E626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Задач</w:t>
            </w:r>
            <w:r w:rsidR="004F3601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никогда не </w:t>
            </w:r>
            <w:r w:rsidR="004F3601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заканчиваются (и это </w:t>
            </w:r>
            <w:proofErr w:type="spellStart"/>
            <w:r w:rsidR="004F3601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демотивирует</w:t>
            </w:r>
            <w:proofErr w:type="spellEnd"/>
            <w:r w:rsidR="004F3601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сотрудников)</w:t>
            </w:r>
          </w:p>
        </w:tc>
        <w:tc>
          <w:tcPr>
            <w:tcW w:w="4673" w:type="dxa"/>
          </w:tcPr>
          <w:p w14:paraId="2C4F3E77" w14:textId="71ADB762" w:rsidR="009A63CE" w:rsidRDefault="00D615E7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4F3601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достигают целей (и это мотивирует сотрудников)</w:t>
            </w:r>
          </w:p>
        </w:tc>
      </w:tr>
      <w:tr w:rsidR="004F3601" w:rsidRPr="007A457D" w14:paraId="47870B23" w14:textId="77777777" w:rsidTr="007A457D">
        <w:tc>
          <w:tcPr>
            <w:tcW w:w="4672" w:type="dxa"/>
          </w:tcPr>
          <w:p w14:paraId="49F4FF21" w14:textId="32A7DCEA" w:rsidR="004F3601" w:rsidRDefault="004F360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Работа описывается через предлагаемые услуги и ожидаемые результаты</w:t>
            </w:r>
          </w:p>
        </w:tc>
        <w:tc>
          <w:tcPr>
            <w:tcW w:w="4673" w:type="dxa"/>
          </w:tcPr>
          <w:p w14:paraId="56EC6FBA" w14:textId="388F0B1C" w:rsidR="004F3601" w:rsidRDefault="004F3601" w:rsidP="0084644A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Работа описывается через потребности </w:t>
            </w:r>
            <w:proofErr w:type="spellStart"/>
            <w:r w:rsidR="00D615E7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благополучателя</w:t>
            </w:r>
            <w:proofErr w:type="spellEnd"/>
          </w:p>
        </w:tc>
      </w:tr>
    </w:tbl>
    <w:p w14:paraId="5E8B57A3" w14:textId="77777777" w:rsidR="007A457D" w:rsidRPr="007A457D" w:rsidRDefault="007A457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</w:p>
    <w:p w14:paraId="721901F3" w14:textId="56E303F5" w:rsidR="0095649D" w:rsidRPr="00026949" w:rsidRDefault="00E92E39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Поскольку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вы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измеряете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влияет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вы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делаете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внедрение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целостного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подхода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E92E3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измерению результатов поддерживает целостный подход в непосредственной работе с клиентом.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змеряя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«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расстояние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»,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пройденное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оставшееся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пройти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направлении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отдаленных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целей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="00B31D51" w:rsidRP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можем сфокусироваться на </w:t>
      </w:r>
      <w:r w:rsidR="0013069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«ближайших» </w:t>
      </w:r>
      <w:r w:rsidR="00B31D5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достижимых и устойчивых изменениях.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вовлекая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процесс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планирования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превращаем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«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измерение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»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мощный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способ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поддержки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их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собственной</w:t>
      </w:r>
      <w:r w:rsidR="00026949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активности: изменения совершаются </w:t>
      </w:r>
      <w:r w:rsidR="007921B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и осмысляются самими </w:t>
      </w:r>
      <w:r w:rsid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людьми, а не специалистами – для них. </w:t>
      </w:r>
      <w:r w:rsidR="0095649D" w:rsidRPr="0002694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446CB69F" w14:textId="78660975" w:rsidR="0095649D" w:rsidRPr="00AA4322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3) </w:t>
      </w:r>
      <w:r w:rsidR="001342E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Совместное</w:t>
      </w:r>
      <w:r w:rsidR="001342E0"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342E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обсуждение</w:t>
      </w:r>
      <w:r w:rsidR="001342E0"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342E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1342E0"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342E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оценка</w:t>
      </w:r>
      <w:r w:rsidR="001342E0"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342E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1342E0" w:rsidRP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A4322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объединяют лучшее из «мира специалистов» и «мира клиентов»</w:t>
      </w:r>
    </w:p>
    <w:p w14:paraId="19A6C89B" w14:textId="705DEBA7" w:rsidR="0095649D" w:rsidRPr="00FE0F6F" w:rsidRDefault="000D01A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Традиционные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подходы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оценке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изменений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установках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навыках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поведении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используют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либо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профессиональные инструменты, включая клиническую</w:t>
      </w:r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диагностику, которые применяются специалистами, либо самоотчеты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0D01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хотя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оба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подхода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-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своему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ценны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каждый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них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представляет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только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одну</w:t>
      </w:r>
      <w:r w:rsidR="00FE0F6F" w:rsidRP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E0F6F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точку зрения на ситуацию.</w:t>
      </w:r>
    </w:p>
    <w:p w14:paraId="2E6AA9CB" w14:textId="7C9DEC3E" w:rsidR="0095649D" w:rsidRPr="00D07907" w:rsidRDefault="000F2C15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Объединив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мнения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идеи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специалиста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куратора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случая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)</w:t>
      </w:r>
      <w:r w:rsidR="0095649D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</w:t>
      </w:r>
      <w:proofErr w:type="spellEnd"/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обогащаем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процесс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получаем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более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«объемную»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картину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происходящего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Дополнительн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преимуществ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заключаются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том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само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себе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обсуждение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совместное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осмысление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прогресса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помогают</w:t>
      </w:r>
      <w:r w:rsidR="00605D87" w:rsidRP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ю</w:t>
      </w:r>
      <w:proofErr w:type="spellEnd"/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достигать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желаемых</w:t>
      </w:r>
      <w:r w:rsidR="00605D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изменени</w:t>
      </w:r>
      <w:r w:rsidR="008C199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й</w:t>
      </w:r>
      <w:r w:rsidR="00A46F9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Совместные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обсуждения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также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оптимизируют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процесс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работы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случаем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потому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единое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понимание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проблем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необходимых</w:t>
      </w:r>
      <w:r w:rsidR="00B95906" w:rsidRP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мер по их решению – основа для работающего плана сопровождения</w:t>
      </w:r>
      <w:r w:rsidR="00E4506A">
        <w:rPr>
          <w:rStyle w:val="aa"/>
          <w:rFonts w:ascii="Times New Roman" w:hAnsi="Times New Roman" w:cs="Times New Roman"/>
          <w:color w:val="404040"/>
          <w:sz w:val="24"/>
          <w:szCs w:val="24"/>
          <w:lang w:eastAsia="ru-RU"/>
        </w:rPr>
        <w:footnoteReference w:id="1"/>
      </w:r>
      <w:r w:rsidR="00B95906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 w:rsidR="0095649D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4D008F29" w14:textId="59FA582C" w:rsidR="0095649D" w:rsidRPr="004D6B1C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4) </w:t>
      </w:r>
      <w:r w:rsid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Подс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чит</w:t>
      </w:r>
      <w:r w:rsid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ыв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аем</w:t>
      </w:r>
      <w:r w:rsidR="00B966B9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</w:t>
      </w:r>
      <w:r w:rsidR="00B966B9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B966B9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считаем</w:t>
      </w:r>
      <w:r w:rsidR="00B966B9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важным</w:t>
      </w:r>
      <w:r w:rsidR="00B966B9"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– </w:t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 «субъективных</w:t>
      </w:r>
      <w:r w:rsidR="001A76AE">
        <w:rPr>
          <w:rStyle w:val="aa"/>
          <w:rFonts w:ascii="Times New Roman" w:hAnsi="Times New Roman" w:cs="Times New Roman"/>
          <w:color w:val="404040"/>
          <w:sz w:val="24"/>
          <w:szCs w:val="24"/>
          <w:lang w:eastAsia="ru-RU"/>
        </w:rPr>
        <w:footnoteReference w:id="2"/>
      </w:r>
      <w:r w:rsidR="00B966B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» результатах нет ничего субъективного</w:t>
      </w:r>
    </w:p>
    <w:p w14:paraId="2980FD80" w14:textId="6C79F5EC" w:rsidR="0095649D" w:rsidRPr="001D614C" w:rsidRDefault="00537C04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считаем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изменения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установках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навыках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поведении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это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ключевые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показатели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для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оценки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эффективности работы с ними. 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«</w:t>
      </w:r>
      <w:r w:rsidR="008E375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Объективные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результаты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такие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как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трудоустройство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отсутствие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рецидивов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правонарушений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или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получение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жилья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менее</w:t>
      </w:r>
      <w:r w:rsidRPr="00537C0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важны. </w:t>
      </w:r>
      <w:r w:rsidR="008E375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Но</w:t>
      </w:r>
      <w:r w:rsidR="008E375A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чрезмерное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внимание</w:t>
      </w:r>
      <w:r w:rsidR="008E375A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только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="008E375A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E375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внешни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</w:t>
      </w:r>
      <w:r w:rsidR="008E375A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E375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изменения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может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снизить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точность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прогноза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долгосрочных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будет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учитываться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способности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</w:t>
      </w:r>
      <w:proofErr w:type="spellEnd"/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сохранению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1D614C" w:rsidRP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D614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поддержанию достигнутых изменений. </w:t>
      </w:r>
    </w:p>
    <w:p w14:paraId="5489D6AA" w14:textId="264EA3FB" w:rsidR="0095649D" w:rsidRPr="002422F9" w:rsidRDefault="004D6B1C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Уже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доказано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навыки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установки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являются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важными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предикторами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устойчивости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позитивных</w:t>
      </w:r>
      <w:r w:rsidRPr="004D6B1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изменений.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Их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преимущество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еще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том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прогресс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развитии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навыков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внутренних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ресурсов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</w:t>
      </w:r>
      <w:proofErr w:type="spellEnd"/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можно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измерять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регулярно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достижение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lastRenderedPageBreak/>
        <w:t>объективных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таких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как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получение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жилья</w:t>
      </w:r>
      <w:r w:rsidR="00B6227D" w:rsidRP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B6227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часто бывает разовым и отсроченным во времени.</w:t>
      </w:r>
    </w:p>
    <w:p w14:paraId="46FD1651" w14:textId="5871735B" w:rsidR="0095649D" w:rsidRPr="00737519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5) </w:t>
      </w:r>
      <w:r w:rsid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Отстаиваем</w:t>
      </w:r>
      <w:r w:rsidR="00737519" w:rsidRP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ценность</w:t>
      </w:r>
      <w:r w:rsidR="00737519" w:rsidRP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общих</w:t>
      </w:r>
      <w:r w:rsidR="00737519" w:rsidRP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37519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подходов и инструментов для всего сектора</w:t>
      </w:r>
    </w:p>
    <w:p w14:paraId="47814C56" w14:textId="77777777" w:rsidR="00F4074A" w:rsidRDefault="00F4074A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настойчиво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поддерживаем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разработку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общих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подходов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инструментов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для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всего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сектора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потому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считаем</w:t>
      </w:r>
      <w:r w:rsidRPr="00F407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 это поможет организациям более эффективно измерять результаты, учиться и развиваться благодаря:</w:t>
      </w:r>
    </w:p>
    <w:p w14:paraId="2A00621E" w14:textId="0810FF8F" w:rsidR="0095649D" w:rsidRPr="003E640C" w:rsidRDefault="00F4074A" w:rsidP="0084644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Экономии времени и сил на «изобретение велосипеда», на разработку своих собственных инструментов – ведь все организации, работающие с одними и теми же целевыми группами, стремятся достичь очень похожих результатов</w:t>
      </w:r>
    </w:p>
    <w:p w14:paraId="24AA3070" w14:textId="77777777" w:rsidR="00F4074A" w:rsidRPr="003E640C" w:rsidRDefault="00F4074A" w:rsidP="0084644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Общему языку и единому смысловому полю для всех поставщиков услуг и других </w:t>
      </w:r>
      <w:proofErr w:type="spellStart"/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стекхолдеров</w:t>
      </w:r>
      <w:proofErr w:type="spellEnd"/>
    </w:p>
    <w:p w14:paraId="03388A2A" w14:textId="77777777" w:rsidR="001B56BE" w:rsidRPr="003E640C" w:rsidRDefault="001B56BE" w:rsidP="0084644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Преемственности и согласованности происходящего для </w:t>
      </w:r>
      <w:proofErr w:type="spellStart"/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3E640C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, которые получают услуги в разных организациях или переходят на сопровождение из одной организации в другую</w:t>
      </w:r>
    </w:p>
    <w:p w14:paraId="0EBA12E8" w14:textId="4DC8FC3D" w:rsidR="0095649D" w:rsidRPr="00D07907" w:rsidRDefault="000B4C10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Организация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Triangle</w:t>
      </w:r>
      <w:r w:rsidR="0095649D"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апробировала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этот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различными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модификациями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Звезды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результатов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» (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Outcomes</w:t>
      </w:r>
      <w:r w:rsidR="0095649D"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5649D" w:rsidRPr="00D07907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Star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сфере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здравоохранения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социальной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защиты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Параллельно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этими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прикладными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разработками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развивает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исследовательская</w:t>
      </w:r>
      <w:r w:rsidRPr="000B4C10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программа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«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Общие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инструменты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: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целое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–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больше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чем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сумма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его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частей</w:t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» (Shared measurement: Greater than the sum of its parts</w:t>
      </w:r>
      <w:r w:rsidR="006B5FFA">
        <w:rPr>
          <w:rStyle w:val="aa"/>
          <w:rFonts w:ascii="Times New Roman" w:hAnsi="Times New Roman" w:cs="Times New Roman"/>
          <w:color w:val="404040"/>
          <w:sz w:val="24"/>
          <w:szCs w:val="24"/>
          <w:lang w:val="en-US" w:eastAsia="ru-RU"/>
        </w:rPr>
        <w:footnoteReference w:id="3"/>
      </w:r>
      <w:r w:rsidR="006B5FFA" w:rsidRPr="006B5FFA"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  <w:t>).</w:t>
      </w:r>
    </w:p>
    <w:p w14:paraId="137419AA" w14:textId="6792676F" w:rsidR="0095649D" w:rsidRPr="001B22AD" w:rsidRDefault="0095649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6) </w:t>
      </w:r>
      <w:r w:rsid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Апробация</w:t>
      </w:r>
      <w:r w:rsidR="006B5FFA"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должна</w:t>
      </w:r>
      <w:r w:rsidR="006B5FFA"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быть</w:t>
      </w:r>
      <w:r w:rsidR="006B5FFA"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сбанасированной</w:t>
      </w:r>
      <w:proofErr w:type="spellEnd"/>
      <w:r w:rsidR="006B5FFA"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6B5FFA"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B5FF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целостной</w:t>
      </w:r>
    </w:p>
    <w:p w14:paraId="680937E4" w14:textId="4F0A89D6" w:rsidR="0095649D" w:rsidRPr="00D07907" w:rsidRDefault="001B22AD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Традиционный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подход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апробации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инструментов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ориентирует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первую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очередь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представления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академических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исследователей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валидности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лиц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принимающих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решения, 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об их надежности. При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этом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недостаточно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внимания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уделяется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точкам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зрения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работников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22E9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администраторов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социальных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программ. Мы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считаем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апробации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инструментов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необходимо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учитывать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точку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зрения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всех</w:t>
      </w:r>
      <w:r w:rsidRPr="001B22AD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стейкхолдеров.</w:t>
      </w:r>
    </w:p>
    <w:p w14:paraId="0EE0B1A4" w14:textId="5D0B91E1" w:rsidR="003D6BA2" w:rsidRPr="008A794A" w:rsidRDefault="003D6BA2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Всех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стейкхолдеров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объединяет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общая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заинтересованность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позитивных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изменениях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жизни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</w:t>
      </w:r>
      <w:proofErr w:type="spellEnd"/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но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конкретные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потребности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них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различаются</w:t>
      </w:r>
      <w:r w:rsidRPr="008A794A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:</w:t>
      </w:r>
    </w:p>
    <w:p w14:paraId="7FCEC511" w14:textId="25B78DDC" w:rsidR="0095649D" w:rsidRPr="00563EE4" w:rsidRDefault="00C96A5F" w:rsidP="008464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Благополучателям</w:t>
      </w:r>
      <w:proofErr w:type="spellEnd"/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нужны инструменты, которые придавали бы их компетентности для осмысления их собственной жизни, для планирования и реализации изменений</w:t>
      </w:r>
    </w:p>
    <w:p w14:paraId="69283FAD" w14:textId="77777777" w:rsidR="00FC4CCB" w:rsidRPr="00563EE4" w:rsidRDefault="00FC4CCB" w:rsidP="008464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Специалистам нужны инструменты, которые помогали бы выстраивать рабочие отношения с </w:t>
      </w:r>
      <w:proofErr w:type="spellStart"/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благополучателями</w:t>
      </w:r>
      <w:proofErr w:type="spellEnd"/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, содержательно обсуждать с ними их жизненную ситуацию и процесс оказания им помощи</w:t>
      </w:r>
    </w:p>
    <w:p w14:paraId="3C556CE9" w14:textId="25DC7C53" w:rsidR="0095649D" w:rsidRPr="00563EE4" w:rsidRDefault="00622E9D" w:rsidP="008464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Администраторам </w:t>
      </w:r>
      <w:r w:rsidR="009651CF"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нужны инструменты, которые помогали бы </w:t>
      </w:r>
      <w:r w:rsidR="00CD3A35"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выявлять сильные стороны их проектов или услуг, </w:t>
      </w:r>
      <w:r w:rsidR="00A347AD"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выявлять проблемы, а также </w:t>
      </w:r>
      <w:r w:rsidR="0082265C"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развивать в своей организации эффективные, последовательные и сфокусированные на результатах методы работы </w:t>
      </w:r>
    </w:p>
    <w:p w14:paraId="34400534" w14:textId="289BE55D" w:rsidR="0095649D" w:rsidRPr="00563EE4" w:rsidRDefault="00AD23A9" w:rsidP="008464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Учредителям и донорам нужны инструменты, которые позволят им выявить самых эффективных поставщиков услуг и дополнительно поддержать их или организовать передачу их успешного опыта коллегам</w:t>
      </w:r>
    </w:p>
    <w:p w14:paraId="17147E93" w14:textId="2E163765" w:rsidR="0095649D" w:rsidRPr="00563EE4" w:rsidRDefault="00D6275B" w:rsidP="008464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lastRenderedPageBreak/>
        <w:t>Академическим исследователям и лицам, принимающим решения, нужны</w:t>
      </w:r>
      <w:r w:rsidR="00B06A96" w:rsidRPr="00563EE4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инструменты, с помощью которых можно выяснить, какие виды услуг или терапевтических вмешательств являются наиболее эффективными</w:t>
      </w:r>
    </w:p>
    <w:p w14:paraId="08488959" w14:textId="64A095F8" w:rsidR="0095649D" w:rsidRPr="002B7C91" w:rsidRDefault="000A618C" w:rsidP="0084644A">
      <w:pPr>
        <w:jc w:val="both"/>
        <w:rPr>
          <w:rFonts w:ascii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Ограничиваясь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точкой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зрения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академических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исследователей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лиц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принимающих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решения</w:t>
      </w:r>
      <w:r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мы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рискуем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получить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инструменты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которые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сложно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использовать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практике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для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обсуждения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процесса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оказания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услуг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сложно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соотносить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реальной работой. В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худшем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случае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такие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инструменты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могут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даже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мешать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измерять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реальные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изменения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благополучателей</w:t>
      </w:r>
      <w:proofErr w:type="spellEnd"/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.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Мы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настаиваем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на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том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что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апробация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любых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инструментов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измерения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должна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учитывать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потребности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всех</w:t>
      </w:r>
      <w:r w:rsidR="002B7C91" w:rsidRP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7C91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стейкхолдеров.</w:t>
      </w:r>
    </w:p>
    <w:p w14:paraId="705143F8" w14:textId="77777777" w:rsidR="00A818B2" w:rsidRPr="002B7C91" w:rsidRDefault="00A818B2" w:rsidP="008464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18B2" w:rsidRPr="002B7C91" w:rsidSect="002422F9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BEF5" w14:textId="77777777" w:rsidR="00960C75" w:rsidRDefault="00960C75" w:rsidP="001A76AE">
      <w:pPr>
        <w:spacing w:after="0" w:line="240" w:lineRule="auto"/>
      </w:pPr>
      <w:r>
        <w:separator/>
      </w:r>
    </w:p>
  </w:endnote>
  <w:endnote w:type="continuationSeparator" w:id="0">
    <w:p w14:paraId="09A2ED5E" w14:textId="77777777" w:rsidR="00960C75" w:rsidRDefault="00960C75" w:rsidP="001A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1B6C" w14:textId="77777777" w:rsidR="00960C75" w:rsidRDefault="00960C75" w:rsidP="001A76AE">
      <w:pPr>
        <w:spacing w:after="0" w:line="240" w:lineRule="auto"/>
      </w:pPr>
      <w:r>
        <w:separator/>
      </w:r>
    </w:p>
  </w:footnote>
  <w:footnote w:type="continuationSeparator" w:id="0">
    <w:p w14:paraId="0F74FF4A" w14:textId="77777777" w:rsidR="00960C75" w:rsidRDefault="00960C75" w:rsidP="001A76AE">
      <w:pPr>
        <w:spacing w:after="0" w:line="240" w:lineRule="auto"/>
      </w:pPr>
      <w:r>
        <w:continuationSeparator/>
      </w:r>
    </w:p>
  </w:footnote>
  <w:footnote w:id="1">
    <w:p w14:paraId="1A841212" w14:textId="4A881EAD" w:rsidR="00E4506A" w:rsidRPr="00A05494" w:rsidRDefault="00E4506A" w:rsidP="00A05494">
      <w:pPr>
        <w:pStyle w:val="a8"/>
        <w:jc w:val="both"/>
        <w:rPr>
          <w:rFonts w:ascii="Times New Roman" w:hAnsi="Times New Roman" w:cs="Times New Roman"/>
        </w:rPr>
      </w:pPr>
      <w:r w:rsidRPr="00A05494">
        <w:rPr>
          <w:rStyle w:val="aa"/>
          <w:rFonts w:ascii="Times New Roman" w:hAnsi="Times New Roman" w:cs="Times New Roman"/>
        </w:rPr>
        <w:footnoteRef/>
      </w:r>
      <w:r w:rsidRPr="00A05494">
        <w:rPr>
          <w:rFonts w:ascii="Times New Roman" w:hAnsi="Times New Roman" w:cs="Times New Roman"/>
        </w:rPr>
        <w:t xml:space="preserve"> Подробнее об идее совместного сбора и </w:t>
      </w:r>
      <w:r w:rsidR="009F169C" w:rsidRPr="00A05494">
        <w:rPr>
          <w:rFonts w:ascii="Times New Roman" w:hAnsi="Times New Roman" w:cs="Times New Roman"/>
        </w:rPr>
        <w:t>представления данных (</w:t>
      </w:r>
      <w:proofErr w:type="spellStart"/>
      <w:r w:rsidR="009F169C" w:rsidRPr="00A05494">
        <w:rPr>
          <w:rFonts w:ascii="Times New Roman" w:hAnsi="Times New Roman" w:cs="Times New Roman"/>
        </w:rPr>
        <w:t>co-reporting</w:t>
      </w:r>
      <w:proofErr w:type="spellEnd"/>
      <w:r w:rsidR="009F169C" w:rsidRPr="00A05494">
        <w:rPr>
          <w:rFonts w:ascii="Times New Roman" w:hAnsi="Times New Roman" w:cs="Times New Roman"/>
        </w:rPr>
        <w:t>) – в сборнике</w:t>
      </w:r>
      <w:r w:rsidR="0069448D" w:rsidRPr="00A05494">
        <w:rPr>
          <w:rFonts w:ascii="Times New Roman" w:hAnsi="Times New Roman" w:cs="Times New Roman"/>
        </w:rPr>
        <w:t xml:space="preserve"> </w:t>
      </w:r>
      <w:r w:rsidR="0069448D" w:rsidRPr="00A05494">
        <w:rPr>
          <w:rFonts w:ascii="Times New Roman" w:hAnsi="Times New Roman" w:cs="Times New Roman"/>
        </w:rPr>
        <w:t>CO-OPERATIVES FOR SUSTAINABLE COMMUNITIES</w:t>
      </w:r>
      <w:r w:rsidR="0069448D" w:rsidRPr="00A05494">
        <w:rPr>
          <w:rFonts w:ascii="Times New Roman" w:hAnsi="Times New Roman" w:cs="Times New Roman"/>
        </w:rPr>
        <w:t xml:space="preserve"> (Сотрудничество ради устойчивых сообществ)</w:t>
      </w:r>
      <w:r w:rsidR="009F169C" w:rsidRPr="00A05494">
        <w:rPr>
          <w:rFonts w:ascii="Times New Roman" w:hAnsi="Times New Roman" w:cs="Times New Roman"/>
        </w:rPr>
        <w:t xml:space="preserve">, </w:t>
      </w:r>
      <w:r w:rsidR="0069448D" w:rsidRPr="00A05494">
        <w:rPr>
          <w:rFonts w:ascii="Times New Roman" w:hAnsi="Times New Roman" w:cs="Times New Roman"/>
        </w:rPr>
        <w:t xml:space="preserve">со </w:t>
      </w:r>
      <w:r w:rsidR="009F169C" w:rsidRPr="00A05494">
        <w:rPr>
          <w:rFonts w:ascii="Times New Roman" w:hAnsi="Times New Roman" w:cs="Times New Roman"/>
        </w:rPr>
        <w:t>с</w:t>
      </w:r>
      <w:r w:rsidR="0069448D" w:rsidRPr="00A05494">
        <w:rPr>
          <w:rFonts w:ascii="Times New Roman" w:hAnsi="Times New Roman" w:cs="Times New Roman"/>
        </w:rPr>
        <w:t>тр</w:t>
      </w:r>
      <w:r w:rsidR="009F169C" w:rsidRPr="00A05494">
        <w:rPr>
          <w:rFonts w:ascii="Times New Roman" w:hAnsi="Times New Roman" w:cs="Times New Roman"/>
        </w:rPr>
        <w:t xml:space="preserve">. 239  </w:t>
      </w:r>
      <w:r w:rsidRPr="00A05494">
        <w:rPr>
          <w:rFonts w:ascii="Times New Roman" w:hAnsi="Times New Roman" w:cs="Times New Roman"/>
        </w:rPr>
        <w:t>http://www.outcomesstar.org.uk/wp-content/uploads/R_CoopsforSustainableCommunities1.pdf</w:t>
      </w:r>
    </w:p>
  </w:footnote>
  <w:footnote w:id="2">
    <w:p w14:paraId="74156626" w14:textId="39AEF104" w:rsidR="009212B6" w:rsidRPr="001A76AE" w:rsidRDefault="009212B6" w:rsidP="00A05494">
      <w:pPr>
        <w:pStyle w:val="a8"/>
        <w:jc w:val="both"/>
      </w:pPr>
      <w:r w:rsidRPr="00A05494">
        <w:rPr>
          <w:rStyle w:val="aa"/>
          <w:rFonts w:ascii="Times New Roman" w:hAnsi="Times New Roman" w:cs="Times New Roman"/>
        </w:rPr>
        <w:footnoteRef/>
      </w:r>
      <w:r w:rsidRPr="00A05494">
        <w:rPr>
          <w:rFonts w:ascii="Times New Roman" w:hAnsi="Times New Roman" w:cs="Times New Roman"/>
        </w:rPr>
        <w:t xml:space="preserve"> В оригинале используется понятие </w:t>
      </w:r>
      <w:r w:rsidRPr="00A05494">
        <w:rPr>
          <w:rFonts w:ascii="Times New Roman" w:hAnsi="Times New Roman" w:cs="Times New Roman"/>
          <w:lang w:val="en-US"/>
        </w:rPr>
        <w:t>soft</w:t>
      </w:r>
      <w:r w:rsidRPr="00A05494">
        <w:rPr>
          <w:rFonts w:ascii="Times New Roman" w:hAnsi="Times New Roman" w:cs="Times New Roman"/>
        </w:rPr>
        <w:t xml:space="preserve"> / </w:t>
      </w:r>
      <w:r w:rsidRPr="00A05494">
        <w:rPr>
          <w:rFonts w:ascii="Times New Roman" w:hAnsi="Times New Roman" w:cs="Times New Roman"/>
          <w:lang w:val="en-US"/>
        </w:rPr>
        <w:t>hard</w:t>
      </w:r>
      <w:r w:rsidRPr="00A05494">
        <w:rPr>
          <w:rFonts w:ascii="Times New Roman" w:hAnsi="Times New Roman" w:cs="Times New Roman"/>
        </w:rPr>
        <w:t xml:space="preserve"> </w:t>
      </w:r>
      <w:r w:rsidRPr="00A05494">
        <w:rPr>
          <w:rFonts w:ascii="Times New Roman" w:hAnsi="Times New Roman" w:cs="Times New Roman"/>
          <w:lang w:val="en-US"/>
        </w:rPr>
        <w:t>outcomes</w:t>
      </w:r>
      <w:r w:rsidRPr="00A05494">
        <w:rPr>
          <w:rFonts w:ascii="Times New Roman" w:hAnsi="Times New Roman" w:cs="Times New Roman"/>
        </w:rPr>
        <w:t xml:space="preserve"> (букв. «мягкие» и «жесткие»). На русский язык их переводят как «субъективные / объективные» (например: </w:t>
      </w:r>
      <w:hyperlink r:id="rId1" w:history="1">
        <w:r w:rsidRPr="00A05494">
          <w:rPr>
            <w:rStyle w:val="a5"/>
            <w:rFonts w:ascii="Times New Roman" w:hAnsi="Times New Roman" w:cs="Times New Roman"/>
          </w:rPr>
          <w:t>http://www.ozenka.info/usefuldata/metodics/ocenka_effektivnosti_proektov/364_file_1.pdf</w:t>
        </w:r>
      </w:hyperlink>
      <w:r w:rsidRPr="00A05494">
        <w:rPr>
          <w:rFonts w:ascii="Times New Roman" w:hAnsi="Times New Roman" w:cs="Times New Roman"/>
        </w:rPr>
        <w:t>, с</w:t>
      </w:r>
      <w:r w:rsidR="00D62E07" w:rsidRPr="00A05494">
        <w:rPr>
          <w:rFonts w:ascii="Times New Roman" w:hAnsi="Times New Roman" w:cs="Times New Roman"/>
        </w:rPr>
        <w:t>тр</w:t>
      </w:r>
      <w:r w:rsidRPr="00A05494">
        <w:rPr>
          <w:rFonts w:ascii="Times New Roman" w:hAnsi="Times New Roman" w:cs="Times New Roman"/>
        </w:rPr>
        <w:t xml:space="preserve">. 30) или «мягкие» (например: </w:t>
      </w:r>
      <w:hyperlink r:id="rId2" w:history="1">
        <w:r w:rsidRPr="00A05494">
          <w:rPr>
            <w:rStyle w:val="a5"/>
            <w:rFonts w:ascii="Times New Roman" w:hAnsi="Times New Roman" w:cs="Times New Roman"/>
          </w:rPr>
          <w:t>https://cyberleninka.ru/article/n/uchastie-detey-v-prinyatii-resheniy-kak-mehanizm-realizatsii-kontseptsii-razvitiya-dopolnitelnogo-obrazovaniya</w:t>
        </w:r>
      </w:hyperlink>
      <w:r w:rsidRPr="00A05494">
        <w:rPr>
          <w:rFonts w:ascii="Times New Roman" w:hAnsi="Times New Roman" w:cs="Times New Roman"/>
        </w:rPr>
        <w:t>).</w:t>
      </w:r>
    </w:p>
  </w:footnote>
  <w:footnote w:id="3">
    <w:p w14:paraId="312A173A" w14:textId="5C23C18F" w:rsidR="009212B6" w:rsidRDefault="009212B6">
      <w:pPr>
        <w:pStyle w:val="a8"/>
      </w:pPr>
      <w:r>
        <w:rPr>
          <w:rStyle w:val="aa"/>
        </w:rPr>
        <w:footnoteRef/>
      </w:r>
      <w:r>
        <w:t xml:space="preserve"> </w:t>
      </w:r>
      <w:hyperlink r:id="rId3" w:history="1">
        <w:r w:rsidRPr="00C1225C">
          <w:rPr>
            <w:rStyle w:val="a5"/>
          </w:rPr>
          <w:t>https://www.inspiringimpact.org/resource-library/shared-measurement-greater-than-the-sum-of-its-parts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887A" w14:textId="56996E66" w:rsidR="002422F9" w:rsidRDefault="002422F9" w:rsidP="002422F9">
    <w:pPr>
      <w:pStyle w:val="ac"/>
      <w:jc w:val="both"/>
      <w:rPr>
        <w:rStyle w:val="af0"/>
        <w:rFonts w:ascii="Georgia" w:hAnsi="Georgia" w:cs="Arial"/>
        <w:color w:val="595959"/>
        <w:sz w:val="18"/>
        <w:szCs w:val="18"/>
        <w:shd w:val="clear" w:color="auto" w:fill="FFFFFF"/>
      </w:rPr>
    </w:pPr>
    <w:r>
      <w:rPr>
        <w:rFonts w:ascii="Georgia" w:hAnsi="Georgia"/>
        <w:color w:val="595959"/>
        <w:sz w:val="18"/>
        <w:szCs w:val="18"/>
        <w:shd w:val="clear" w:color="auto" w:fill="FFFFFF"/>
        <w:lang w:val="en-US"/>
      </w:rPr>
      <w:t> </w:t>
    </w:r>
    <w:r>
      <w:rPr>
        <w:rStyle w:val="af0"/>
        <w:rFonts w:ascii="Georgia" w:hAnsi="Georgia" w:cs="Arial"/>
        <w:color w:val="595959"/>
        <w:sz w:val="18"/>
        <w:szCs w:val="18"/>
        <w:shd w:val="clear" w:color="auto" w:fill="FFFFFF"/>
      </w:rPr>
      <w:t>©Материал подготовлен АНО «Эволюция и Филантропия» в рамках проекта «Слушай с пользой!», который реализуется с использованием гранта Президента Российской Федерации на развитие гражданского общества, предоставленного </w:t>
    </w:r>
    <w:hyperlink r:id="rId1" w:tgtFrame="_blank" w:history="1">
      <w:r>
        <w:rPr>
          <w:rStyle w:val="a5"/>
          <w:rFonts w:ascii="Georgia" w:hAnsi="Georgia" w:cs="Arial"/>
          <w:i/>
          <w:iCs/>
          <w:color w:val="1155CC"/>
          <w:sz w:val="18"/>
          <w:szCs w:val="18"/>
          <w:shd w:val="clear" w:color="auto" w:fill="FFFFFF"/>
        </w:rPr>
        <w:t>Фондом президентских грантов</w:t>
      </w:r>
    </w:hyperlink>
    <w:r>
      <w:rPr>
        <w:rStyle w:val="af0"/>
        <w:rFonts w:ascii="Georgia" w:hAnsi="Georgia" w:cs="Arial"/>
        <w:color w:val="595959"/>
        <w:sz w:val="18"/>
        <w:szCs w:val="18"/>
        <w:shd w:val="clear" w:color="auto" w:fill="FFFFFF"/>
      </w:rPr>
      <w:t> и при стратегической поддержке </w:t>
    </w:r>
    <w:hyperlink r:id="rId2" w:tgtFrame="_blank" w:history="1">
      <w:r>
        <w:rPr>
          <w:rStyle w:val="a5"/>
          <w:rFonts w:ascii="Georgia" w:hAnsi="Georgia" w:cs="Arial"/>
          <w:i/>
          <w:iCs/>
          <w:color w:val="1155CC"/>
          <w:sz w:val="18"/>
          <w:szCs w:val="18"/>
          <w:shd w:val="clear" w:color="auto" w:fill="FFFFFF"/>
        </w:rPr>
        <w:t>Фонда Тимченко</w:t>
      </w:r>
    </w:hyperlink>
    <w:r>
      <w:rPr>
        <w:rStyle w:val="af0"/>
        <w:rFonts w:ascii="Georgia" w:hAnsi="Georgia" w:cs="Arial"/>
        <w:color w:val="595959"/>
        <w:sz w:val="18"/>
        <w:szCs w:val="18"/>
        <w:shd w:val="clear" w:color="auto" w:fill="FFFFFF"/>
      </w:rPr>
      <w:t>.</w:t>
    </w:r>
  </w:p>
  <w:p w14:paraId="572D18D1" w14:textId="77777777" w:rsidR="002422F9" w:rsidRPr="002422F9" w:rsidRDefault="002422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B8C"/>
    <w:multiLevelType w:val="multilevel"/>
    <w:tmpl w:val="486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90201"/>
    <w:multiLevelType w:val="multilevel"/>
    <w:tmpl w:val="FE4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014AC"/>
    <w:multiLevelType w:val="hybridMultilevel"/>
    <w:tmpl w:val="9E92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6F"/>
    <w:multiLevelType w:val="hybridMultilevel"/>
    <w:tmpl w:val="3B50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2"/>
    <w:rsid w:val="000061E0"/>
    <w:rsid w:val="00026949"/>
    <w:rsid w:val="000861E7"/>
    <w:rsid w:val="000A618C"/>
    <w:rsid w:val="000B4C10"/>
    <w:rsid w:val="000C0D8D"/>
    <w:rsid w:val="000D01AD"/>
    <w:rsid w:val="000F2C15"/>
    <w:rsid w:val="00130697"/>
    <w:rsid w:val="001342E0"/>
    <w:rsid w:val="00140AA1"/>
    <w:rsid w:val="00166897"/>
    <w:rsid w:val="001A76AE"/>
    <w:rsid w:val="001B22AD"/>
    <w:rsid w:val="001B2D34"/>
    <w:rsid w:val="001B56BE"/>
    <w:rsid w:val="001D614C"/>
    <w:rsid w:val="001D6161"/>
    <w:rsid w:val="001E714F"/>
    <w:rsid w:val="00211636"/>
    <w:rsid w:val="00227F6E"/>
    <w:rsid w:val="002422F9"/>
    <w:rsid w:val="00261D96"/>
    <w:rsid w:val="002967C5"/>
    <w:rsid w:val="002B7C91"/>
    <w:rsid w:val="002E4AC0"/>
    <w:rsid w:val="00311C3E"/>
    <w:rsid w:val="00345261"/>
    <w:rsid w:val="003D6BA2"/>
    <w:rsid w:val="003E640C"/>
    <w:rsid w:val="004074FA"/>
    <w:rsid w:val="00434CBF"/>
    <w:rsid w:val="004D6B1C"/>
    <w:rsid w:val="004F3601"/>
    <w:rsid w:val="0053440E"/>
    <w:rsid w:val="00537C04"/>
    <w:rsid w:val="005441DA"/>
    <w:rsid w:val="00551314"/>
    <w:rsid w:val="00563EE4"/>
    <w:rsid w:val="005966EA"/>
    <w:rsid w:val="005C398D"/>
    <w:rsid w:val="005E6261"/>
    <w:rsid w:val="005F4E4B"/>
    <w:rsid w:val="005F73C7"/>
    <w:rsid w:val="00605D87"/>
    <w:rsid w:val="00615EBD"/>
    <w:rsid w:val="00622E9D"/>
    <w:rsid w:val="00626313"/>
    <w:rsid w:val="0064145B"/>
    <w:rsid w:val="0069448D"/>
    <w:rsid w:val="006B5FFA"/>
    <w:rsid w:val="00737519"/>
    <w:rsid w:val="007921B4"/>
    <w:rsid w:val="007A457D"/>
    <w:rsid w:val="0082265C"/>
    <w:rsid w:val="0084644A"/>
    <w:rsid w:val="008A1240"/>
    <w:rsid w:val="008A794A"/>
    <w:rsid w:val="008C1996"/>
    <w:rsid w:val="008C794D"/>
    <w:rsid w:val="008E375A"/>
    <w:rsid w:val="008E76E0"/>
    <w:rsid w:val="00907A72"/>
    <w:rsid w:val="009212B6"/>
    <w:rsid w:val="0095649D"/>
    <w:rsid w:val="00960C75"/>
    <w:rsid w:val="009651CF"/>
    <w:rsid w:val="009A63CE"/>
    <w:rsid w:val="009F169C"/>
    <w:rsid w:val="00A05494"/>
    <w:rsid w:val="00A10090"/>
    <w:rsid w:val="00A1748C"/>
    <w:rsid w:val="00A347AD"/>
    <w:rsid w:val="00A46F90"/>
    <w:rsid w:val="00A818B2"/>
    <w:rsid w:val="00AA4322"/>
    <w:rsid w:val="00AD23A9"/>
    <w:rsid w:val="00AF174F"/>
    <w:rsid w:val="00B06A96"/>
    <w:rsid w:val="00B31D51"/>
    <w:rsid w:val="00B43D37"/>
    <w:rsid w:val="00B6227D"/>
    <w:rsid w:val="00B95906"/>
    <w:rsid w:val="00B966B9"/>
    <w:rsid w:val="00C01230"/>
    <w:rsid w:val="00C1445C"/>
    <w:rsid w:val="00C511E4"/>
    <w:rsid w:val="00C96A5F"/>
    <w:rsid w:val="00CB641A"/>
    <w:rsid w:val="00CD3A35"/>
    <w:rsid w:val="00D07907"/>
    <w:rsid w:val="00D42A76"/>
    <w:rsid w:val="00D615E7"/>
    <w:rsid w:val="00D6275B"/>
    <w:rsid w:val="00D62E07"/>
    <w:rsid w:val="00D83876"/>
    <w:rsid w:val="00E02DBA"/>
    <w:rsid w:val="00E4506A"/>
    <w:rsid w:val="00E67136"/>
    <w:rsid w:val="00E92E39"/>
    <w:rsid w:val="00F06E18"/>
    <w:rsid w:val="00F4074A"/>
    <w:rsid w:val="00F70F3F"/>
    <w:rsid w:val="00F77311"/>
    <w:rsid w:val="00FC4CC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72CB"/>
  <w15:chartTrackingRefBased/>
  <w15:docId w15:val="{2860AC3A-DDC5-4E83-BB7E-6ACE773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9D"/>
    <w:rPr>
      <w:b/>
      <w:bCs/>
    </w:rPr>
  </w:style>
  <w:style w:type="character" w:styleId="a5">
    <w:name w:val="Hyperlink"/>
    <w:basedOn w:val="a0"/>
    <w:uiPriority w:val="99"/>
    <w:unhideWhenUsed/>
    <w:rsid w:val="0095649D"/>
    <w:rPr>
      <w:color w:val="0000FF"/>
      <w:u w:val="single"/>
    </w:rPr>
  </w:style>
  <w:style w:type="table" w:styleId="a6">
    <w:name w:val="Table Grid"/>
    <w:basedOn w:val="a1"/>
    <w:uiPriority w:val="39"/>
    <w:rsid w:val="007A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5D8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A76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76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76AE"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0061E0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4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22F9"/>
  </w:style>
  <w:style w:type="paragraph" w:styleId="ae">
    <w:name w:val="footer"/>
    <w:basedOn w:val="a"/>
    <w:link w:val="af"/>
    <w:uiPriority w:val="99"/>
    <w:unhideWhenUsed/>
    <w:rsid w:val="0024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22F9"/>
  </w:style>
  <w:style w:type="character" w:styleId="af0">
    <w:name w:val="Emphasis"/>
    <w:basedOn w:val="a0"/>
    <w:uiPriority w:val="20"/>
    <w:qFormat/>
    <w:rsid w:val="00242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comesstar.org.uk/about-triangle/our-approach-to-outco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piringimpact.org/resource-library/shared-measurement-greater-than-the-sum-of-its-parts" TargetMode="External"/><Relationship Id="rId2" Type="http://schemas.openxmlformats.org/officeDocument/2006/relationships/hyperlink" Target="https://cyberleninka.ru/article/n/uchastie-detey-v-prinyatii-resheniy-kak-mehanizm-realizatsii-kontseptsii-razvitiya-dopolnitelnogo-obrazovaniya" TargetMode="External"/><Relationship Id="rId1" Type="http://schemas.openxmlformats.org/officeDocument/2006/relationships/hyperlink" Target="http://www.ozenka.info/usefuldata/metodics/ocenka_effektivnosti_proektov/364_file_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mchenkofoundation.org/" TargetMode="External"/><Relationship Id="rId1" Type="http://schemas.openxmlformats.org/officeDocument/2006/relationships/hyperlink" Target="https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5651-7F26-4A4D-8638-E54128C2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Татьяна Арчакова</cp:lastModifiedBy>
  <cp:revision>66</cp:revision>
  <dcterms:created xsi:type="dcterms:W3CDTF">2019-06-21T06:12:00Z</dcterms:created>
  <dcterms:modified xsi:type="dcterms:W3CDTF">2019-06-21T10:17:00Z</dcterms:modified>
</cp:coreProperties>
</file>